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D9" w:rsidRPr="004D6150" w:rsidRDefault="00DD7CD9" w:rsidP="004D6150">
      <w:pPr>
        <w:pStyle w:val="BodyText"/>
        <w:tabs>
          <w:tab w:val="left" w:pos="840"/>
        </w:tabs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kzel-pro-g" style="position:absolute;left:0;text-align:left;margin-left:3in;margin-top:-48.05pt;width:36pt;height:42pt;z-index:-251658240;visibility:visible" wrapcoords="-450 0 -450 21214 21600 21214 21600 0 -450 0">
            <v:imagedata r:id="rId7" o:title=""/>
            <w10:wrap type="tight"/>
          </v:shape>
        </w:pict>
      </w:r>
      <w:r w:rsidRPr="004D6150">
        <w:rPr>
          <w:b/>
          <w:szCs w:val="28"/>
        </w:rPr>
        <w:t>АДМИНИСТРАЦИЯ ГОРОДСКОГО ОКРУГА «ГОРОД КИЗЕЛ»</w:t>
      </w:r>
    </w:p>
    <w:p w:rsidR="00DD7CD9" w:rsidRPr="004D6150" w:rsidRDefault="00DD7CD9" w:rsidP="004D6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150">
        <w:rPr>
          <w:b/>
          <w:sz w:val="28"/>
          <w:szCs w:val="28"/>
        </w:rPr>
        <w:t>П О С Т А Н О В Л Е Н И Е</w:t>
      </w:r>
    </w:p>
    <w:p w:rsidR="00DD7CD9" w:rsidRPr="004D6150" w:rsidRDefault="00DD7CD9" w:rsidP="00633AE9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1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D6150">
        <w:rPr>
          <w:sz w:val="28"/>
          <w:szCs w:val="28"/>
        </w:rPr>
        <w:t xml:space="preserve"> 24.12.2021</w:t>
      </w:r>
      <w:r w:rsidRPr="004D6150">
        <w:rPr>
          <w:sz w:val="28"/>
          <w:szCs w:val="28"/>
        </w:rPr>
        <w:tab/>
        <w:t xml:space="preserve">                                                                                </w:t>
      </w:r>
      <w:r w:rsidRPr="004D615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4D6150">
        <w:rPr>
          <w:sz w:val="28"/>
          <w:szCs w:val="28"/>
        </w:rPr>
        <w:t xml:space="preserve"> № 4</w:t>
      </w:r>
      <w:r>
        <w:rPr>
          <w:sz w:val="28"/>
          <w:szCs w:val="28"/>
        </w:rPr>
        <w:t>60</w:t>
      </w:r>
    </w:p>
    <w:p w:rsidR="00DD7CD9" w:rsidRPr="00940217" w:rsidRDefault="00DD7CD9" w:rsidP="004D6150">
      <w:pPr>
        <w:pStyle w:val="BodyText"/>
        <w:tabs>
          <w:tab w:val="left" w:pos="840"/>
        </w:tabs>
        <w:spacing w:before="480" w:line="240" w:lineRule="auto"/>
        <w:ind w:firstLine="0"/>
        <w:rPr>
          <w:b/>
        </w:rPr>
      </w:pPr>
      <w:r w:rsidRPr="00940217">
        <w:rPr>
          <w:b/>
        </w:rPr>
        <w:t>Об утверждении Положения об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>организации в администрации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>городского округа «Город Кизел»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>системы внутреннего обеспечения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 xml:space="preserve">соответствия требованиям 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 xml:space="preserve">антимонопольного законодательства </w:t>
      </w:r>
    </w:p>
    <w:p w:rsidR="00DD7CD9" w:rsidRPr="00940217" w:rsidRDefault="00DD7CD9" w:rsidP="00940217">
      <w:pPr>
        <w:pStyle w:val="BodyText"/>
        <w:tabs>
          <w:tab w:val="left" w:pos="840"/>
        </w:tabs>
        <w:spacing w:line="240" w:lineRule="exact"/>
        <w:ind w:firstLine="0"/>
        <w:rPr>
          <w:b/>
        </w:rPr>
      </w:pPr>
      <w:r w:rsidRPr="00940217">
        <w:rPr>
          <w:b/>
        </w:rPr>
        <w:t xml:space="preserve">(антимонопольный </w:t>
      </w:r>
      <w:r w:rsidRPr="00633AE9">
        <w:rPr>
          <w:b/>
        </w:rPr>
        <w:t>комплаенс</w:t>
      </w:r>
      <w:r w:rsidRPr="00940217">
        <w:rPr>
          <w:b/>
        </w:rPr>
        <w:t xml:space="preserve">) </w:t>
      </w:r>
    </w:p>
    <w:p w:rsidR="00DD7CD9" w:rsidRDefault="00DD7CD9" w:rsidP="00E43DE0">
      <w:pPr>
        <w:pStyle w:val="BodyText"/>
        <w:tabs>
          <w:tab w:val="left" w:pos="840"/>
        </w:tabs>
        <w:ind w:firstLine="0"/>
      </w:pPr>
    </w:p>
    <w:p w:rsidR="00DD7CD9" w:rsidRPr="00E43DE0" w:rsidRDefault="00DD7CD9" w:rsidP="00633AE9">
      <w:pPr>
        <w:pStyle w:val="BodyText"/>
        <w:tabs>
          <w:tab w:val="left" w:pos="840"/>
        </w:tabs>
        <w:spacing w:line="240" w:lineRule="auto"/>
      </w:pPr>
      <w:r>
        <w:t>В соответствии с распоряжением Правительства Российской Федерации от 18 октября 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Правительства Пермского края от 28 февраля 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руководствуясь п.11 ч.2 ст.44 Устава городского округа «Город Кизел» Пермского края, администрация города Кизела</w:t>
      </w:r>
    </w:p>
    <w:p w:rsidR="00DD7CD9" w:rsidRDefault="00DD7CD9" w:rsidP="00633AE9">
      <w:pPr>
        <w:pStyle w:val="1"/>
        <w:spacing w:line="240" w:lineRule="auto"/>
        <w:ind w:firstLine="0"/>
        <w:jc w:val="both"/>
      </w:pPr>
      <w:r>
        <w:t>ПОСТАНОВЛЯЕТ:</w:t>
      </w:r>
    </w:p>
    <w:p w:rsidR="00DD7CD9" w:rsidRPr="00940217" w:rsidRDefault="00DD7CD9" w:rsidP="00633AE9">
      <w:pPr>
        <w:pStyle w:val="1"/>
        <w:numPr>
          <w:ilvl w:val="0"/>
          <w:numId w:val="2"/>
        </w:numPr>
        <w:tabs>
          <w:tab w:val="left" w:pos="1098"/>
        </w:tabs>
        <w:spacing w:line="240" w:lineRule="auto"/>
        <w:ind w:firstLine="709"/>
        <w:jc w:val="both"/>
      </w:pPr>
      <w:bookmarkStart w:id="0" w:name="bookmark6"/>
      <w:bookmarkEnd w:id="0"/>
      <w:r w:rsidRPr="00940217">
        <w:t>Утвердить прилагаемое Положение об организации в администрации городского округа «Город Кизел» системы внутреннего обеспечения соответствия требованиям антимонопольного законодательства (антимонопольный комплаенс).</w:t>
      </w:r>
    </w:p>
    <w:p w:rsidR="00DD7CD9" w:rsidRPr="00940217" w:rsidRDefault="00DD7CD9" w:rsidP="00633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940217">
        <w:rPr>
          <w:sz w:val="28"/>
          <w:szCs w:val="28"/>
        </w:rPr>
        <w:t xml:space="preserve">Обнародовать настоящее постановление в МБУ «Кизеловская библиотека» и </w:t>
      </w:r>
      <w:r>
        <w:rPr>
          <w:sz w:val="28"/>
          <w:szCs w:val="28"/>
        </w:rPr>
        <w:t xml:space="preserve"> </w:t>
      </w:r>
      <w:r w:rsidRPr="00940217">
        <w:rPr>
          <w:sz w:val="28"/>
          <w:szCs w:val="28"/>
        </w:rPr>
        <w:t xml:space="preserve">разместить на официальном </w:t>
      </w:r>
      <w:r>
        <w:rPr>
          <w:sz w:val="28"/>
          <w:szCs w:val="28"/>
        </w:rPr>
        <w:t xml:space="preserve"> </w:t>
      </w:r>
      <w:r w:rsidRPr="0094021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940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940217">
        <w:rPr>
          <w:sz w:val="28"/>
          <w:szCs w:val="28"/>
        </w:rPr>
        <w:t>города Кизела-</w:t>
      </w:r>
      <w:hyperlink r:id="rId8" w:history="1">
        <w:r w:rsidRPr="00940217">
          <w:rPr>
            <w:sz w:val="28"/>
            <w:szCs w:val="28"/>
            <w:lang w:eastAsia="en-US"/>
          </w:rPr>
          <w:t>http://www.kizelraion.ru</w:t>
        </w:r>
      </w:hyperlink>
      <w:r w:rsidRPr="00940217">
        <w:rPr>
          <w:sz w:val="28"/>
          <w:szCs w:val="28"/>
          <w:lang w:eastAsia="en-US"/>
        </w:rPr>
        <w:t>.</w:t>
      </w:r>
    </w:p>
    <w:p w:rsidR="00DD7CD9" w:rsidRDefault="00DD7CD9" w:rsidP="00633AE9">
      <w:pPr>
        <w:pStyle w:val="1"/>
        <w:tabs>
          <w:tab w:val="left" w:pos="993"/>
          <w:tab w:val="left" w:pos="1093"/>
        </w:tabs>
        <w:spacing w:line="240" w:lineRule="auto"/>
        <w:ind w:firstLine="709"/>
        <w:jc w:val="both"/>
      </w:pPr>
      <w:bookmarkStart w:id="1" w:name="bookmark7"/>
      <w:bookmarkEnd w:id="1"/>
      <w:r>
        <w:t xml:space="preserve">3.  Настоящее постановление вступает в силу с момента подписания. </w:t>
      </w:r>
      <w:bookmarkStart w:id="2" w:name="bookmark8"/>
      <w:bookmarkEnd w:id="2"/>
    </w:p>
    <w:p w:rsidR="00DD7CD9" w:rsidRDefault="00DD7CD9" w:rsidP="00633AE9">
      <w:pPr>
        <w:pStyle w:val="1"/>
        <w:tabs>
          <w:tab w:val="left" w:pos="1093"/>
          <w:tab w:val="left" w:pos="1162"/>
        </w:tabs>
        <w:spacing w:line="240" w:lineRule="auto"/>
        <w:ind w:firstLine="709"/>
        <w:jc w:val="both"/>
      </w:pPr>
      <w:r>
        <w:t>4.  Контроль за исполнением настоящего постановления оставляю за собой.</w:t>
      </w:r>
    </w:p>
    <w:p w:rsidR="00DD7CD9" w:rsidRDefault="00DD7CD9" w:rsidP="00E43DE0">
      <w:pPr>
        <w:pStyle w:val="1"/>
        <w:tabs>
          <w:tab w:val="left" w:pos="1093"/>
          <w:tab w:val="left" w:pos="1162"/>
        </w:tabs>
        <w:spacing w:line="240" w:lineRule="auto"/>
        <w:ind w:left="780" w:firstLine="0"/>
        <w:jc w:val="both"/>
      </w:pPr>
    </w:p>
    <w:p w:rsidR="00DD7CD9" w:rsidRDefault="00DD7CD9" w:rsidP="008F2618">
      <w:pPr>
        <w:pStyle w:val="1"/>
        <w:tabs>
          <w:tab w:val="left" w:pos="1093"/>
          <w:tab w:val="left" w:pos="1162"/>
        </w:tabs>
        <w:spacing w:before="480" w:line="240" w:lineRule="auto"/>
        <w:ind w:left="782" w:hanging="782"/>
        <w:jc w:val="both"/>
      </w:pPr>
      <w:r>
        <w:t>Глава города Кизела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А.В.Родыгин</w:t>
      </w:r>
    </w:p>
    <w:p w:rsidR="00DD7CD9" w:rsidRDefault="00DD7CD9" w:rsidP="00940217">
      <w:pPr>
        <w:pStyle w:val="1"/>
        <w:tabs>
          <w:tab w:val="left" w:pos="1093"/>
          <w:tab w:val="left" w:pos="1162"/>
        </w:tabs>
        <w:spacing w:before="480" w:line="240" w:lineRule="auto"/>
        <w:ind w:left="782" w:hanging="782"/>
        <w:jc w:val="both"/>
      </w:pPr>
    </w:p>
    <w:p w:rsidR="00DD7CD9" w:rsidRDefault="00DD7CD9" w:rsidP="00940217">
      <w:pPr>
        <w:pStyle w:val="1"/>
        <w:tabs>
          <w:tab w:val="left" w:pos="1093"/>
          <w:tab w:val="left" w:pos="1162"/>
        </w:tabs>
        <w:spacing w:before="480" w:line="240" w:lineRule="auto"/>
        <w:ind w:left="782" w:hanging="782"/>
        <w:jc w:val="both"/>
      </w:pPr>
    </w:p>
    <w:p w:rsidR="00DD7CD9" w:rsidRDefault="00DD7CD9" w:rsidP="00940217">
      <w:pPr>
        <w:pStyle w:val="1"/>
        <w:tabs>
          <w:tab w:val="left" w:pos="1093"/>
          <w:tab w:val="left" w:pos="1162"/>
        </w:tabs>
        <w:spacing w:before="480" w:line="240" w:lineRule="auto"/>
        <w:ind w:left="782" w:hanging="782"/>
        <w:jc w:val="both"/>
      </w:pPr>
    </w:p>
    <w:p w:rsidR="00DD7CD9" w:rsidRDefault="00DD7CD9" w:rsidP="00940217">
      <w:pPr>
        <w:pStyle w:val="1"/>
        <w:spacing w:line="240" w:lineRule="auto"/>
        <w:ind w:firstLine="5812"/>
      </w:pPr>
    </w:p>
    <w:p w:rsidR="00DD7CD9" w:rsidRDefault="00DD7CD9" w:rsidP="00940217">
      <w:pPr>
        <w:pStyle w:val="1"/>
        <w:spacing w:line="240" w:lineRule="auto"/>
        <w:ind w:firstLine="5812"/>
      </w:pPr>
    </w:p>
    <w:p w:rsidR="00DD7CD9" w:rsidRDefault="00DD7CD9" w:rsidP="00940217">
      <w:pPr>
        <w:pStyle w:val="1"/>
        <w:spacing w:line="240" w:lineRule="auto"/>
        <w:ind w:firstLine="5812"/>
      </w:pPr>
    </w:p>
    <w:p w:rsidR="00DD7CD9" w:rsidRDefault="00DD7CD9" w:rsidP="00940217">
      <w:pPr>
        <w:pStyle w:val="1"/>
        <w:spacing w:line="240" w:lineRule="auto"/>
        <w:ind w:firstLine="5812"/>
      </w:pPr>
      <w:r>
        <w:t>УТВЕРЖДЕНО</w:t>
      </w:r>
    </w:p>
    <w:p w:rsidR="00DD7CD9" w:rsidRDefault="00DD7CD9" w:rsidP="00940217">
      <w:pPr>
        <w:pStyle w:val="1"/>
        <w:spacing w:line="240" w:lineRule="auto"/>
        <w:ind w:firstLine="5812"/>
      </w:pPr>
      <w:r>
        <w:t xml:space="preserve">постановлением администрации </w:t>
      </w:r>
    </w:p>
    <w:p w:rsidR="00DD7CD9" w:rsidRDefault="00DD7CD9" w:rsidP="00940217">
      <w:pPr>
        <w:pStyle w:val="1"/>
        <w:spacing w:line="240" w:lineRule="auto"/>
        <w:ind w:firstLine="5812"/>
      </w:pPr>
      <w:r>
        <w:t>городского округа «Город Кизел»</w:t>
      </w:r>
    </w:p>
    <w:p w:rsidR="00DD7CD9" w:rsidRDefault="00DD7CD9" w:rsidP="00940217">
      <w:pPr>
        <w:pStyle w:val="1"/>
        <w:spacing w:line="240" w:lineRule="auto"/>
        <w:ind w:firstLine="5812"/>
      </w:pPr>
      <w:r>
        <w:t>от 24.12.2021 № 460</w:t>
      </w:r>
    </w:p>
    <w:p w:rsidR="00DD7CD9" w:rsidRDefault="00DD7CD9" w:rsidP="008034FB">
      <w:pPr>
        <w:pStyle w:val="1"/>
        <w:spacing w:line="240" w:lineRule="auto"/>
        <w:ind w:firstLine="0"/>
        <w:jc w:val="center"/>
        <w:rPr>
          <w:b/>
          <w:bCs/>
        </w:rPr>
      </w:pPr>
    </w:p>
    <w:p w:rsidR="00DD7CD9" w:rsidRDefault="00DD7CD9" w:rsidP="008034FB">
      <w:pPr>
        <w:pStyle w:val="1"/>
        <w:spacing w:line="240" w:lineRule="auto"/>
        <w:ind w:firstLine="0"/>
        <w:jc w:val="center"/>
        <w:rPr>
          <w:b/>
          <w:bCs/>
        </w:rPr>
      </w:pPr>
    </w:p>
    <w:p w:rsidR="00DD7CD9" w:rsidRDefault="00DD7CD9" w:rsidP="008034FB">
      <w:pPr>
        <w:pStyle w:val="1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DD7CD9" w:rsidRDefault="00DD7CD9" w:rsidP="008034F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организации в администрации городского округа «Город Кизел» системы внутреннего обеспечения соответствия требованиям антимонопольного законодательства (антимонопольный комплаенс)</w:t>
      </w:r>
    </w:p>
    <w:p w:rsidR="00DD7CD9" w:rsidRDefault="00DD7CD9" w:rsidP="008034FB">
      <w:pPr>
        <w:pStyle w:val="1"/>
        <w:spacing w:line="240" w:lineRule="auto"/>
        <w:ind w:firstLine="0"/>
        <w:jc w:val="center"/>
      </w:pPr>
    </w:p>
    <w:p w:rsidR="00DD7CD9" w:rsidRDefault="00DD7CD9" w:rsidP="007D1DAC">
      <w:pPr>
        <w:pStyle w:val="30"/>
        <w:keepNext/>
        <w:keepLines/>
        <w:spacing w:after="0"/>
      </w:pPr>
      <w:bookmarkStart w:id="3" w:name="bookmark10"/>
      <w:bookmarkStart w:id="4" w:name="bookmark11"/>
      <w:bookmarkStart w:id="5" w:name="bookmark9"/>
      <w:r>
        <w:t>1.Общие положения</w:t>
      </w:r>
      <w:bookmarkEnd w:id="3"/>
      <w:bookmarkEnd w:id="4"/>
      <w:bookmarkEnd w:id="5"/>
    </w:p>
    <w:p w:rsidR="00DD7CD9" w:rsidRDefault="00DD7CD9" w:rsidP="00940217">
      <w:pPr>
        <w:pStyle w:val="1"/>
        <w:numPr>
          <w:ilvl w:val="0"/>
          <w:numId w:val="3"/>
        </w:numPr>
        <w:tabs>
          <w:tab w:val="left" w:pos="1248"/>
        </w:tabs>
        <w:spacing w:line="240" w:lineRule="auto"/>
        <w:ind w:firstLine="709"/>
        <w:jc w:val="both"/>
      </w:pPr>
      <w:bookmarkStart w:id="6" w:name="bookmark12"/>
      <w:bookmarkEnd w:id="6"/>
      <w:r>
        <w:t>Положение об организации в администрации городского округа «Город Кизел» системы внутреннего обеспечения соответствия требованиям антимонопольного законодательства (антимонопольный комплаенс) (далее - Положение) разработано в целях обеспечения соответствия деятельности администрации городского округа «Город Кизел»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</w:t>
      </w:r>
    </w:p>
    <w:p w:rsidR="00DD7CD9" w:rsidRDefault="00DD7CD9" w:rsidP="00940217">
      <w:pPr>
        <w:pStyle w:val="1"/>
        <w:numPr>
          <w:ilvl w:val="0"/>
          <w:numId w:val="3"/>
        </w:numPr>
        <w:tabs>
          <w:tab w:val="left" w:pos="1243"/>
        </w:tabs>
        <w:spacing w:line="240" w:lineRule="auto"/>
        <w:ind w:firstLine="709"/>
      </w:pPr>
      <w:bookmarkStart w:id="7" w:name="bookmark13"/>
      <w:bookmarkEnd w:id="7"/>
      <w:r>
        <w:t>Для целей Положения используются следующие понятия: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«антимонопольный орган» - федеральный антимонопольный орган и его территориальный орган;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«доклад об антимонопольном комплаенсе» - документ, содержащий информацию об организации антимонопольного комплаенса в Администрации и о его функционировании;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«нарушение антимонопольного законодательства» - недопущение, ограничение, устранение конкуренции;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«уполномоченное подразделение» - структурное подразделение Администрации, осуществляющее внедрение антимонопольного комплаенса и контроль за его исполнением в Администрации.</w:t>
      </w:r>
    </w:p>
    <w:p w:rsidR="00DD7CD9" w:rsidRDefault="00DD7CD9" w:rsidP="008034FB">
      <w:pPr>
        <w:pStyle w:val="1"/>
        <w:spacing w:line="240" w:lineRule="auto"/>
        <w:ind w:firstLine="720"/>
        <w:jc w:val="both"/>
      </w:pPr>
    </w:p>
    <w:p w:rsidR="00DD7CD9" w:rsidRDefault="00DD7CD9" w:rsidP="007D1DAC">
      <w:pPr>
        <w:pStyle w:val="30"/>
        <w:keepNext/>
        <w:keepLines/>
        <w:numPr>
          <w:ilvl w:val="0"/>
          <w:numId w:val="4"/>
        </w:numPr>
        <w:tabs>
          <w:tab w:val="left" w:pos="387"/>
        </w:tabs>
        <w:spacing w:after="0"/>
      </w:pPr>
      <w:bookmarkStart w:id="8" w:name="bookmark16"/>
      <w:bookmarkStart w:id="9" w:name="bookmark14"/>
      <w:bookmarkStart w:id="10" w:name="bookmark15"/>
      <w:bookmarkStart w:id="11" w:name="bookmark17"/>
      <w:bookmarkEnd w:id="8"/>
      <w:r>
        <w:t>Цели, задачи и принципы антимонопольного комплаенса</w:t>
      </w:r>
      <w:bookmarkEnd w:id="9"/>
      <w:bookmarkEnd w:id="10"/>
      <w:bookmarkEnd w:id="11"/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09"/>
        <w:jc w:val="both"/>
      </w:pPr>
      <w:bookmarkStart w:id="12" w:name="bookmark18"/>
      <w:bookmarkEnd w:id="12"/>
      <w:r>
        <w:t>Цели антимонопольного комплаенса: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-обеспечение соответствия деятельности Администрации требованиям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-профилактика нарушений требований антимонопольного законодательства в деятельности Администрации.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09"/>
        <w:jc w:val="both"/>
      </w:pPr>
      <w:bookmarkStart w:id="13" w:name="bookmark19"/>
      <w:bookmarkEnd w:id="13"/>
      <w:r>
        <w:t>Задачи антимонопольного комплаенса: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-выявление рисков нарушения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-управление рисками нарушения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-контроль за соответствием деятельности Администрации требованиям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-оценка эффективности функционирования в Администрации антимонопольного комплаенса.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09"/>
        <w:jc w:val="both"/>
      </w:pPr>
      <w:bookmarkStart w:id="14" w:name="bookmark20"/>
      <w:bookmarkEnd w:id="14"/>
      <w:r>
        <w:t>При организации антимонопольного комплаенса Администрации рекомендуется руководствоваться следующими принципами: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-заинтересованность руководства Администрации в эффективности функционирования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-регулярность оценки рисков нарушения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-обеспечение информационной открытости функционирования в Администрации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-непрерывность функционирования антимонопольного комплаенса в Администрации;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-совершенствование антимонопольного комплаенса в Администрации.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</w:p>
    <w:p w:rsidR="00DD7CD9" w:rsidRDefault="00DD7CD9" w:rsidP="007D1DAC">
      <w:pPr>
        <w:pStyle w:val="1"/>
        <w:numPr>
          <w:ilvl w:val="0"/>
          <w:numId w:val="4"/>
        </w:numPr>
        <w:tabs>
          <w:tab w:val="left" w:pos="387"/>
        </w:tabs>
        <w:spacing w:line="240" w:lineRule="auto"/>
        <w:ind w:firstLine="0"/>
        <w:jc w:val="center"/>
      </w:pPr>
      <w:bookmarkStart w:id="15" w:name="bookmark21"/>
      <w:bookmarkEnd w:id="15"/>
      <w:r>
        <w:rPr>
          <w:b/>
          <w:bCs/>
        </w:rPr>
        <w:t>Организация антимонопольного комплаенса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09"/>
        <w:jc w:val="both"/>
      </w:pPr>
      <w:bookmarkStart w:id="16" w:name="bookmark22"/>
      <w:bookmarkEnd w:id="16"/>
      <w:r>
        <w:t>Общий контроль за организацией и функционированием в Администрации антимонопольного комплаенса осуществляется главой городского округа – главой администрации городского округа «Город Кизел» (далее - Глава городского  округа), который: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вводит в действие акт об антимонопольном комплаенсе,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осуществляет контроль за устранением выявленных недостатков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утверждает карту комплаенс - рисков Администрации;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утверждает ключевые показатели эффективности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подписывает доклад об антимонопольном комплаенсе (далее - доклад), утверждаемый коллегиальным органом.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304"/>
        </w:tabs>
        <w:spacing w:line="240" w:lineRule="auto"/>
        <w:ind w:firstLine="709"/>
        <w:jc w:val="both"/>
      </w:pPr>
      <w:bookmarkStart w:id="17" w:name="bookmark23"/>
      <w:bookmarkEnd w:id="17"/>
      <w:r>
        <w:t>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Администрации: юридическим отделом и отделом по организационным вопросам и внутренней политике.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309"/>
        </w:tabs>
        <w:spacing w:line="240" w:lineRule="auto"/>
        <w:ind w:firstLine="709"/>
        <w:jc w:val="both"/>
      </w:pPr>
      <w:bookmarkStart w:id="18" w:name="bookmark24"/>
      <w:bookmarkEnd w:id="18"/>
      <w:r>
        <w:t>К компетенции юридического отдела Администрации относятся следующие функции: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подготовка и представление Главе городского округа 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выявление конфликта интересов в деятельности муниципальных служащих и структурных подразделениях Администрации, разработка предложений по их исключению;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консультирование специалистов Администрации по вопросам, связанным с соблюдением антимонопольного законодательства и антимонопольным комплаенсом;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организация взаимодействия с другими структурными подразделениями по вопросам, связанным с антимонопольным комплаенсом;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инициирование проверок, связанных с нарушениями, выявленными в ходе контроля соответствия деятельности специалистов Администрации требованиям антимонопольного законодательства и участие в них в порядке, установленном законодательством Российской Федерации и постановлениями Администрации;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информирование Главы муниципального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 xml:space="preserve">подготовка и внесение на утверждение главы городского округа карты комплаенс - рисков Администрации; 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подготовка и внесение на утверждение главы городского округа плана мероприятий («дорожной карты») по снижению комплаенс-рисков Администрации;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определение и внесение на утверждение главы городского округа ключевых показателей эффективности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подготовка проекта доклада об антимонопольном комплаенсе и представление его на подпись Главе городского  округа;</w:t>
      </w:r>
    </w:p>
    <w:p w:rsidR="00DD7CD9" w:rsidRDefault="00DD7CD9" w:rsidP="00940217">
      <w:pPr>
        <w:pStyle w:val="1"/>
        <w:numPr>
          <w:ilvl w:val="1"/>
          <w:numId w:val="4"/>
        </w:numPr>
        <w:tabs>
          <w:tab w:val="left" w:pos="1304"/>
        </w:tabs>
        <w:spacing w:line="240" w:lineRule="auto"/>
        <w:ind w:firstLine="709"/>
        <w:jc w:val="both"/>
      </w:pPr>
      <w:bookmarkStart w:id="19" w:name="bookmark26"/>
      <w:bookmarkEnd w:id="19"/>
      <w:r>
        <w:t>К компетенции отдела</w:t>
      </w:r>
      <w:r w:rsidRPr="00CD70AC">
        <w:t xml:space="preserve"> </w:t>
      </w:r>
      <w:r>
        <w:t>по организационным вопросам и внутренней политике Администрации относятся следующие функции:</w:t>
      </w:r>
    </w:p>
    <w:p w:rsidR="00DD7CD9" w:rsidRDefault="00DD7CD9" w:rsidP="00940217">
      <w:pPr>
        <w:pStyle w:val="1"/>
        <w:tabs>
          <w:tab w:val="left" w:pos="1304"/>
        </w:tabs>
        <w:spacing w:line="240" w:lineRule="auto"/>
        <w:ind w:firstLine="709"/>
        <w:jc w:val="both"/>
      </w:pPr>
      <w:r>
        <w:t>выявление конфликта интересов в деятельности муниципальных служащих Администрации, разработка предложений по их исключению;</w:t>
      </w:r>
    </w:p>
    <w:p w:rsidR="00DD7CD9" w:rsidRDefault="00DD7CD9" w:rsidP="00940217">
      <w:pPr>
        <w:pStyle w:val="1"/>
        <w:tabs>
          <w:tab w:val="left" w:pos="1304"/>
        </w:tabs>
        <w:spacing w:line="240" w:lineRule="auto"/>
        <w:ind w:firstLine="709"/>
        <w:jc w:val="both"/>
      </w:pPr>
      <w:r>
        <w:t>проведение служебных проверок;</w:t>
      </w:r>
    </w:p>
    <w:p w:rsidR="00DD7CD9" w:rsidRDefault="00DD7CD9" w:rsidP="00940217">
      <w:pPr>
        <w:pStyle w:val="1"/>
        <w:tabs>
          <w:tab w:val="left" w:pos="1304"/>
        </w:tabs>
        <w:spacing w:line="240" w:lineRule="auto"/>
        <w:ind w:firstLine="709"/>
        <w:jc w:val="both"/>
      </w:pPr>
      <w:r>
        <w:t>ознакомление гражданина Российской Федерации с настоящим Положением при поступлении на муниципальную службу в Администрацию;</w:t>
      </w:r>
    </w:p>
    <w:p w:rsidR="00DD7CD9" w:rsidRDefault="00DD7CD9" w:rsidP="00940217">
      <w:pPr>
        <w:pStyle w:val="1"/>
        <w:tabs>
          <w:tab w:val="left" w:pos="1304"/>
        </w:tabs>
        <w:spacing w:line="240" w:lineRule="auto"/>
        <w:ind w:firstLine="709"/>
        <w:jc w:val="both"/>
      </w:pPr>
      <w:r>
        <w:t>организация систематического обучения муниципальных служащих и специалистов Администрации требованиям антимонопольного законодательства и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 xml:space="preserve">взаимодействие с Коллегиальным органом, 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размещение на официальном сайте Администрации в информационно- телекоммуникационной сети «Интернет» (далее - официальный сайт Администрации) информации, предусмотренной настоящим Положением;</w:t>
      </w:r>
    </w:p>
    <w:p w:rsidR="00DD7CD9" w:rsidRDefault="00DD7CD9" w:rsidP="00940217">
      <w:pPr>
        <w:pStyle w:val="1"/>
        <w:numPr>
          <w:ilvl w:val="1"/>
          <w:numId w:val="4"/>
        </w:numPr>
        <w:spacing w:line="240" w:lineRule="auto"/>
        <w:ind w:firstLine="709"/>
        <w:jc w:val="both"/>
      </w:pPr>
      <w:r>
        <w:t>К компетенции всех функциональных и отраслевых органов Администрации относятся следующие функции: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информирование главы городского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рассмотрение материалов, отчетов и результатов периодических оценок эффективности функционирования антимонопольного комплаенса и принятие мер, направленных на устранение выявленных недостатков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ознакомление сотрудников Администрации с антимонопольным комплаенсом, внутренними документами, регламентирующими процедуры антимонопольного комплаенса;</w:t>
      </w:r>
    </w:p>
    <w:p w:rsidR="00DD7CD9" w:rsidRDefault="00DD7CD9" w:rsidP="00940217">
      <w:pPr>
        <w:pStyle w:val="1"/>
        <w:numPr>
          <w:ilvl w:val="1"/>
          <w:numId w:val="4"/>
        </w:numPr>
        <w:spacing w:line="240" w:lineRule="auto"/>
        <w:ind w:firstLine="709"/>
        <w:jc w:val="both"/>
      </w:pPr>
      <w:r>
        <w:t>Оценку эффективности организации и функционирования антимонопольного комплаенса осуществляет коллегиальный орган.</w:t>
      </w:r>
      <w:bookmarkStart w:id="20" w:name="bookmark25"/>
      <w:bookmarkEnd w:id="20"/>
    </w:p>
    <w:p w:rsidR="00DD7CD9" w:rsidRDefault="00DD7CD9" w:rsidP="007D1DAC">
      <w:pPr>
        <w:pStyle w:val="1"/>
        <w:tabs>
          <w:tab w:val="left" w:pos="1304"/>
        </w:tabs>
        <w:spacing w:line="240" w:lineRule="auto"/>
        <w:ind w:firstLine="0"/>
        <w:jc w:val="both"/>
      </w:pPr>
      <w:r>
        <w:t xml:space="preserve">         К функциям коллегиального органа относятся:</w:t>
      </w:r>
    </w:p>
    <w:p w:rsidR="00DD7CD9" w:rsidRDefault="00DD7CD9" w:rsidP="00940217">
      <w:pPr>
        <w:pStyle w:val="1"/>
        <w:tabs>
          <w:tab w:val="left" w:pos="1304"/>
        </w:tabs>
        <w:spacing w:line="240" w:lineRule="auto"/>
        <w:ind w:firstLine="709"/>
        <w:jc w:val="both"/>
      </w:pPr>
      <w:r>
        <w:t>- функции по обеспечению работы коллегиального органа;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-рассмотрение и оценка мероприятий Администрации в части, касающейся функционирования антимонопольного комплаенса;</w:t>
      </w:r>
    </w:p>
    <w:p w:rsidR="00DD7CD9" w:rsidRDefault="00DD7CD9" w:rsidP="00940217">
      <w:pPr>
        <w:pStyle w:val="1"/>
        <w:spacing w:line="240" w:lineRule="auto"/>
        <w:ind w:firstLine="709"/>
        <w:jc w:val="both"/>
      </w:pPr>
      <w:r>
        <w:t>- рассмотрение и утверждение доклада об антимонопольном комплаенсе.</w:t>
      </w:r>
    </w:p>
    <w:p w:rsidR="00DD7CD9" w:rsidRDefault="00DD7CD9" w:rsidP="008034FB">
      <w:pPr>
        <w:pStyle w:val="1"/>
        <w:spacing w:line="240" w:lineRule="auto"/>
        <w:ind w:firstLine="720"/>
        <w:jc w:val="both"/>
      </w:pPr>
    </w:p>
    <w:p w:rsidR="00DD7CD9" w:rsidRDefault="00DD7CD9" w:rsidP="007D1DAC">
      <w:pPr>
        <w:pStyle w:val="30"/>
        <w:keepNext/>
        <w:keepLines/>
        <w:numPr>
          <w:ilvl w:val="0"/>
          <w:numId w:val="4"/>
        </w:numPr>
        <w:tabs>
          <w:tab w:val="left" w:pos="387"/>
        </w:tabs>
        <w:spacing w:after="0"/>
      </w:pPr>
      <w:bookmarkStart w:id="21" w:name="bookmark29"/>
      <w:bookmarkStart w:id="22" w:name="bookmark27"/>
      <w:bookmarkStart w:id="23" w:name="bookmark28"/>
      <w:bookmarkStart w:id="24" w:name="bookmark30"/>
      <w:bookmarkEnd w:id="21"/>
      <w:r>
        <w:t>Выявление и оценка рисков нарушения антимонопольного законодательства</w:t>
      </w:r>
      <w:bookmarkEnd w:id="22"/>
      <w:bookmarkEnd w:id="23"/>
      <w:bookmarkEnd w:id="24"/>
      <w:r>
        <w:t xml:space="preserve"> (комплаенс-рисков)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134"/>
          <w:tab w:val="left" w:pos="1290"/>
        </w:tabs>
        <w:spacing w:line="240" w:lineRule="auto"/>
        <w:ind w:firstLine="709"/>
        <w:jc w:val="both"/>
      </w:pPr>
      <w:bookmarkStart w:id="25" w:name="bookmark31"/>
      <w:bookmarkEnd w:id="25"/>
      <w:r>
        <w:t xml:space="preserve"> В целях выявления рисков нарушения антимонопольного законодательства юридическим отделом Администрации  на регулярной основе должны проводится: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анализ проектов нормативных правовых актов Администрации;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мониторинг и анализ практики применения Администрацией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78"/>
        </w:tabs>
        <w:spacing w:line="240" w:lineRule="auto"/>
        <w:ind w:firstLine="709"/>
        <w:jc w:val="both"/>
      </w:pPr>
      <w:bookmarkStart w:id="26" w:name="bookmark32"/>
      <w:bookmarkEnd w:id="26"/>
      <w:r>
        <w:t>При проведении (не реже одного раза в год) мероприятий, предусмотренных пунктом 4.1 настоящего Положения, юридический отдел Администрации: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осуществляет сбор в структурных подразделениях Администрации сведений о наличии нарушений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73"/>
        </w:tabs>
        <w:spacing w:line="240" w:lineRule="auto"/>
        <w:ind w:firstLine="709"/>
        <w:jc w:val="both"/>
      </w:pPr>
      <w:bookmarkStart w:id="27" w:name="bookmark33"/>
      <w:bookmarkEnd w:id="27"/>
      <w:r>
        <w:t>При проведении анализа нормативных правовых актов реализуются следующие мероприятия: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разработка и размещение на официальном сайте Администрации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предоставление Главе городского округа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83"/>
        </w:tabs>
        <w:spacing w:line="240" w:lineRule="auto"/>
        <w:ind w:firstLine="709"/>
        <w:jc w:val="both"/>
      </w:pPr>
      <w:bookmarkStart w:id="28" w:name="bookmark34"/>
      <w:bookmarkEnd w:id="28"/>
      <w:r>
        <w:t>При проведении анализа проектов нормативных правовых актов реализуются следующие мероприятия: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09"/>
        <w:jc w:val="both"/>
      </w:pPr>
      <w:bookmarkStart w:id="29" w:name="bookmark35"/>
      <w:bookmarkEnd w:id="29"/>
      <w:r>
        <w:t>При проведении мониторинга и анализа практики применения антимонопольного законодательства юридическим отделом Администрации реализуются следующие мероприятия: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осуществление на постоянной основе сбора сведений о правоприменительной практике в Администрации;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подготовка по итогам сбора информации, предусмотренной абзацем вторым настоящего пункта, аналитической справки об изменениях и основных аспектах правоприменительной практики.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проведение при необходимости рабочих совещаний с приглашением представителей Управления Федеральной антимонопольной службы по Пермскому краю по обсуждению результатов правоприменительной практики в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09"/>
        <w:jc w:val="both"/>
      </w:pPr>
      <w:bookmarkStart w:id="30" w:name="bookmark36"/>
      <w:bookmarkEnd w:id="30"/>
      <w:r>
        <w:t>При выявлении рисков нарушения антимонопольного законодательства юридическим отделом Администрции проводится оценка таких рисков с учетом следующих показателей: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отрицательное влияние на отношение институтов гражданского общества  деятельности Администрации по развитию конкуренции;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выдача предупреждения о прекращении действия (бездействия), которые содержат признаки нарушения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возбуждение дела о нарушении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09"/>
        <w:jc w:val="both"/>
      </w:pPr>
      <w:bookmarkStart w:id="31" w:name="bookmark37"/>
      <w:bookmarkEnd w:id="31"/>
      <w:r>
        <w:t>Выявляемые риски нарушения антимонопольного законодательства распределяются по уровням согласно приложению к настоящему Положению.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90"/>
        </w:tabs>
        <w:spacing w:line="240" w:lineRule="auto"/>
        <w:ind w:firstLine="709"/>
        <w:jc w:val="both"/>
      </w:pPr>
      <w:bookmarkStart w:id="32" w:name="bookmark38"/>
      <w:bookmarkEnd w:id="32"/>
      <w:r>
        <w:t>На основе проведенной оценки рисков нарушения антимонопольного законодательства юридическим отделом Администрации составляется описание рисков, в которое также включается оценка причин и условий возникновения рисков.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04"/>
        </w:tabs>
        <w:spacing w:line="240" w:lineRule="auto"/>
        <w:ind w:firstLine="709"/>
        <w:jc w:val="both"/>
      </w:pPr>
      <w:bookmarkStart w:id="33" w:name="bookmark39"/>
      <w:bookmarkEnd w:id="33"/>
      <w: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DD7CD9" w:rsidRDefault="00DD7CD9" w:rsidP="008034FB">
      <w:pPr>
        <w:pStyle w:val="1"/>
        <w:tabs>
          <w:tab w:val="left" w:pos="1304"/>
        </w:tabs>
        <w:spacing w:line="240" w:lineRule="auto"/>
        <w:ind w:firstLine="0"/>
        <w:jc w:val="both"/>
      </w:pPr>
    </w:p>
    <w:p w:rsidR="00DD7CD9" w:rsidRDefault="00DD7CD9" w:rsidP="007D1DAC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34" w:name="bookmark42"/>
      <w:bookmarkStart w:id="35" w:name="bookmark40"/>
      <w:bookmarkStart w:id="36" w:name="bookmark41"/>
      <w:bookmarkStart w:id="37" w:name="bookmark43"/>
      <w:bookmarkEnd w:id="34"/>
      <w:r>
        <w:t>Мероприятия по снижению рисков нарушения антимонопольного законодательства</w:t>
      </w:r>
      <w:bookmarkEnd w:id="35"/>
      <w:bookmarkEnd w:id="36"/>
      <w:bookmarkEnd w:id="37"/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09"/>
        <w:jc w:val="both"/>
      </w:pPr>
      <w:bookmarkStart w:id="38" w:name="bookmark44"/>
      <w:bookmarkEnd w:id="38"/>
      <w:r>
        <w:t>В целях снижения рисков нарушения антимонопольного законодательства юридическим отделом Администрации должны разрабатываться (не реже одного раза в год) мероприятия по снижению рисков нарушения антимонопольного законодательства в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09"/>
        <w:jc w:val="both"/>
      </w:pPr>
      <w:bookmarkStart w:id="39" w:name="bookmark45"/>
      <w:bookmarkEnd w:id="39"/>
      <w:r>
        <w:t>Юридический отдел Администрации  должен осуществлять мониторинг исполнения мероприятий по снижению рисков нарушения антимонопольного законодательства в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09"/>
        </w:tabs>
        <w:spacing w:line="240" w:lineRule="auto"/>
        <w:ind w:firstLine="709"/>
        <w:jc w:val="both"/>
      </w:pPr>
      <w:bookmarkStart w:id="40" w:name="bookmark46"/>
      <w:bookmarkEnd w:id="40"/>
      <w:r>
        <w:t>Информация об исполнении мероприятий по снижению рисков нарушения антимонопольного законодательства в Администрации включается в доклад об антимонопольном комплаенсе.</w:t>
      </w:r>
    </w:p>
    <w:p w:rsidR="00DD7CD9" w:rsidRDefault="00DD7CD9" w:rsidP="007D1DAC">
      <w:pPr>
        <w:pStyle w:val="1"/>
        <w:tabs>
          <w:tab w:val="left" w:pos="1309"/>
        </w:tabs>
        <w:spacing w:line="240" w:lineRule="auto"/>
        <w:ind w:firstLine="709"/>
        <w:jc w:val="both"/>
      </w:pPr>
    </w:p>
    <w:p w:rsidR="00DD7CD9" w:rsidRDefault="00DD7CD9" w:rsidP="007D1DAC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41" w:name="bookmark49"/>
      <w:bookmarkStart w:id="42" w:name="bookmark47"/>
      <w:bookmarkStart w:id="43" w:name="bookmark48"/>
      <w:bookmarkStart w:id="44" w:name="bookmark50"/>
      <w:bookmarkEnd w:id="41"/>
      <w:r>
        <w:t>Оценка эффективности функционирования в Администрации антимонопольного комплаенса</w:t>
      </w:r>
      <w:bookmarkEnd w:id="42"/>
      <w:bookmarkEnd w:id="43"/>
      <w:bookmarkEnd w:id="44"/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09"/>
        <w:jc w:val="both"/>
      </w:pPr>
      <w:bookmarkStart w:id="45" w:name="bookmark51"/>
      <w:bookmarkEnd w:id="45"/>
      <w:r>
        <w:t>В целях оценки эффективности функционирования в Администрации антимонопольного комплаенса должны устанавливаться ключевые показатели как для уполномоченного подразделения, так и ответственных структурных подразделений Администрации в целом.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09"/>
        <w:jc w:val="both"/>
      </w:pPr>
      <w:bookmarkStart w:id="46" w:name="bookmark52"/>
      <w:bookmarkEnd w:id="46"/>
      <w:r>
        <w:t>Методика расчета ключевых показателей эффективности функционирования в Администрации антимонопольного комплаенса утверждается постановлением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09"/>
        <w:jc w:val="both"/>
      </w:pPr>
      <w:bookmarkStart w:id="47" w:name="bookmark53"/>
      <w:bookmarkEnd w:id="47"/>
      <w:r>
        <w:t>Юридический отдел Администрации должен проводить (не реже одного раза в год) оценку достижений ключевых показателей эффективности антимонопольного комплаенса в Администрации.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09"/>
        <w:jc w:val="both"/>
      </w:pPr>
      <w:bookmarkStart w:id="48" w:name="bookmark54"/>
      <w:bookmarkEnd w:id="48"/>
      <w:r>
        <w:t>Информация об исполнении достижений ключевых показателей эффективности функционирования в Администрации антимонопольного комплаенса включается в доклад об антимонопольном комплаенсе.</w:t>
      </w:r>
    </w:p>
    <w:p w:rsidR="00DD7CD9" w:rsidRDefault="00DD7CD9" w:rsidP="007D1DAC">
      <w:pPr>
        <w:pStyle w:val="1"/>
        <w:tabs>
          <w:tab w:val="left" w:pos="1314"/>
        </w:tabs>
        <w:spacing w:line="240" w:lineRule="auto"/>
        <w:ind w:firstLine="709"/>
        <w:jc w:val="both"/>
      </w:pPr>
    </w:p>
    <w:p w:rsidR="00DD7CD9" w:rsidRDefault="00DD7CD9" w:rsidP="007D1DAC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49" w:name="bookmark57"/>
      <w:bookmarkStart w:id="50" w:name="bookmark55"/>
      <w:bookmarkStart w:id="51" w:name="bookmark56"/>
      <w:bookmarkStart w:id="52" w:name="bookmark58"/>
      <w:bookmarkEnd w:id="49"/>
      <w:r>
        <w:t>Доклад об антимонопольном комплаенсе</w:t>
      </w:r>
      <w:bookmarkEnd w:id="50"/>
      <w:bookmarkEnd w:id="51"/>
      <w:bookmarkEnd w:id="52"/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324"/>
        </w:tabs>
        <w:spacing w:line="240" w:lineRule="auto"/>
        <w:ind w:firstLine="709"/>
        <w:jc w:val="both"/>
      </w:pPr>
      <w:bookmarkStart w:id="53" w:name="bookmark59"/>
      <w:bookmarkEnd w:id="53"/>
      <w:r>
        <w:t>Доклад об антимонопольном комплаенсе должен содержать информацию: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 результатах проведенной оценки рисков нарушения Администрацией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об исполнении мероприятий по снижению рисков нарушения Администрацией антимонопольного законодательства;</w:t>
      </w:r>
    </w:p>
    <w:p w:rsidR="00DD7CD9" w:rsidRDefault="00DD7CD9" w:rsidP="007D1DAC">
      <w:pPr>
        <w:pStyle w:val="1"/>
        <w:spacing w:line="240" w:lineRule="auto"/>
        <w:ind w:firstLine="709"/>
        <w:jc w:val="both"/>
      </w:pPr>
      <w:r>
        <w:t>о достижении ключевых показателей эффективности антимонопольного комплаенса.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09"/>
        <w:jc w:val="both"/>
      </w:pPr>
      <w:bookmarkStart w:id="54" w:name="bookmark60"/>
      <w:bookmarkEnd w:id="54"/>
      <w:r>
        <w:t>Доклад об антимонопольном комплаенсе предоставляется в коллегиальный орган на утверждение уполномоченным органом (не реже одного раза в год).</w:t>
      </w:r>
    </w:p>
    <w:p w:rsidR="00DD7CD9" w:rsidRDefault="00DD7CD9" w:rsidP="007D1DAC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09"/>
        <w:jc w:val="both"/>
        <w:sectPr w:rsidR="00DD7CD9" w:rsidSect="00633AE9">
          <w:footerReference w:type="default" r:id="rId9"/>
          <w:pgSz w:w="11909" w:h="16834"/>
          <w:pgMar w:top="1134" w:right="567" w:bottom="1134" w:left="1418" w:header="1219" w:footer="0" w:gutter="0"/>
          <w:cols w:space="720"/>
          <w:noEndnote/>
          <w:docGrid w:linePitch="360"/>
        </w:sectPr>
      </w:pPr>
      <w:bookmarkStart w:id="55" w:name="bookmark61"/>
      <w:bookmarkEnd w:id="55"/>
      <w:r>
        <w:t>Утвержденный коллегиальным органом и подписанный Главой городского округа доклад размещается на официальном сайте Администрации.</w:t>
      </w:r>
    </w:p>
    <w:p w:rsidR="00DD7CD9" w:rsidRDefault="00DD7CD9" w:rsidP="00F64538">
      <w:pPr>
        <w:pStyle w:val="1"/>
        <w:spacing w:line="168" w:lineRule="auto"/>
        <w:ind w:firstLine="0"/>
      </w:pPr>
      <w:bookmarkStart w:id="56" w:name="_GoBack"/>
      <w:bookmarkEnd w:id="56"/>
    </w:p>
    <w:p w:rsidR="00DD7CD9" w:rsidRDefault="00DD7CD9" w:rsidP="007D1DAC">
      <w:pPr>
        <w:pStyle w:val="1"/>
        <w:tabs>
          <w:tab w:val="left" w:pos="4962"/>
        </w:tabs>
        <w:spacing w:line="240" w:lineRule="auto"/>
        <w:ind w:firstLine="0"/>
      </w:pPr>
      <w:r>
        <w:t xml:space="preserve">                                                                      Приложение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к Положению об организации в   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администрации городского округа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«Город Кизел» системы внутреннего 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обеспечения соответствия требованиям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антимонопольного законодательства  </w:t>
      </w:r>
    </w:p>
    <w:p w:rsidR="00DD7CD9" w:rsidRDefault="00DD7CD9" w:rsidP="001C074D">
      <w:pPr>
        <w:pStyle w:val="1"/>
        <w:spacing w:line="240" w:lineRule="auto"/>
        <w:ind w:firstLine="0"/>
      </w:pPr>
      <w:r>
        <w:t xml:space="preserve">                                                                      (антимонопольный комплаенс)</w:t>
      </w:r>
    </w:p>
    <w:p w:rsidR="00DD7CD9" w:rsidRDefault="00DD7CD9" w:rsidP="008034FB">
      <w:pPr>
        <w:pStyle w:val="1"/>
        <w:spacing w:after="220" w:line="226" w:lineRule="auto"/>
        <w:ind w:firstLine="0"/>
        <w:jc w:val="center"/>
        <w:rPr>
          <w:b/>
          <w:bCs/>
        </w:rPr>
      </w:pPr>
    </w:p>
    <w:p w:rsidR="00DD7CD9" w:rsidRDefault="00DD7CD9" w:rsidP="0065198F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УРОВНИ РИСКОВ </w:t>
      </w:r>
    </w:p>
    <w:p w:rsidR="00DD7CD9" w:rsidRDefault="00DD7CD9" w:rsidP="0065198F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нарушения антимонопольного законодательства</w:t>
      </w:r>
    </w:p>
    <w:p w:rsidR="00DD7CD9" w:rsidRDefault="00DD7CD9" w:rsidP="0065198F">
      <w:pPr>
        <w:pStyle w:val="1"/>
        <w:spacing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4239"/>
        <w:gridCol w:w="4670"/>
      </w:tblGrid>
      <w:tr w:rsidR="00DD7CD9" w:rsidTr="004D6150">
        <w:trPr>
          <w:trHeight w:hRule="exact" w:val="73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CD9" w:rsidRDefault="00DD7CD9" w:rsidP="004D6150">
            <w:pPr>
              <w:pStyle w:val="a4"/>
              <w:spacing w:line="156" w:lineRule="auto"/>
              <w:ind w:left="220" w:firstLine="20"/>
            </w:pPr>
            <w:r>
              <w:t>№</w:t>
            </w:r>
          </w:p>
          <w:p w:rsidR="00DD7CD9" w:rsidRDefault="00DD7CD9" w:rsidP="004D6150">
            <w:pPr>
              <w:pStyle w:val="a4"/>
              <w:spacing w:line="156" w:lineRule="auto"/>
              <w:ind w:left="220" w:firstLine="20"/>
            </w:pPr>
            <w:r>
              <w:t>п/п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CD9" w:rsidRDefault="00DD7CD9" w:rsidP="004D6150">
            <w:pPr>
              <w:pStyle w:val="a4"/>
              <w:spacing w:line="240" w:lineRule="auto"/>
              <w:ind w:left="1300" w:firstLine="0"/>
            </w:pPr>
            <w:r>
              <w:t>Уровень риска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D9" w:rsidRDefault="00DD7CD9" w:rsidP="008E68C6">
            <w:pPr>
              <w:pStyle w:val="a4"/>
              <w:spacing w:line="240" w:lineRule="auto"/>
              <w:ind w:firstLine="0"/>
              <w:jc w:val="center"/>
            </w:pPr>
            <w:r>
              <w:t>Описание риска</w:t>
            </w:r>
          </w:p>
        </w:tc>
      </w:tr>
      <w:tr w:rsidR="00DD7CD9" w:rsidTr="004D6150">
        <w:trPr>
          <w:trHeight w:hRule="exact" w:val="6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7D1DAC">
            <w:pPr>
              <w:pStyle w:val="a4"/>
              <w:spacing w:line="240" w:lineRule="auto"/>
              <w:ind w:firstLine="0"/>
            </w:pPr>
            <w:r>
              <w:t xml:space="preserve">   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7D1DAC">
            <w:pPr>
              <w:pStyle w:val="a4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D9" w:rsidRDefault="00DD7CD9" w:rsidP="007D1DAC">
            <w:pPr>
              <w:pStyle w:val="a4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DD7CD9" w:rsidTr="004D6150">
        <w:trPr>
          <w:trHeight w:hRule="exact" w:val="28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220"/>
            </w:pPr>
            <w: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0"/>
            </w:pPr>
            <w:r>
              <w:t>Низкий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line="240" w:lineRule="auto"/>
              <w:ind w:firstLine="0"/>
            </w:pPr>
            <w:r>
              <w:t>Отрицательное влияние на отношение</w:t>
            </w:r>
            <w:r>
              <w:br/>
              <w:t>институтов гражданского общества к деятельности Администрации по развитию конкуренции, вероятность выдачи предупреждения, возбуждения</w:t>
            </w:r>
            <w:r>
              <w:br/>
              <w:t>дела о нарушении антимонопольного законодательства, наложения штрафа отсутствует</w:t>
            </w:r>
          </w:p>
        </w:tc>
      </w:tr>
      <w:tr w:rsidR="00DD7CD9" w:rsidTr="004D6150">
        <w:trPr>
          <w:trHeight w:hRule="exact" w:val="11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CD9" w:rsidRDefault="00DD7CD9" w:rsidP="008E68C6">
            <w:pPr>
              <w:pStyle w:val="a4"/>
              <w:spacing w:line="240" w:lineRule="auto"/>
              <w:ind w:firstLine="220"/>
            </w:pPr>
            <w: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CD9" w:rsidRDefault="00DD7CD9" w:rsidP="008E68C6">
            <w:pPr>
              <w:pStyle w:val="a4"/>
              <w:spacing w:line="240" w:lineRule="auto"/>
              <w:ind w:firstLine="0"/>
            </w:pPr>
            <w:r>
              <w:t>Незначительный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D9" w:rsidRDefault="00DD7CD9" w:rsidP="004D6150">
            <w:pPr>
              <w:pStyle w:val="a4"/>
              <w:spacing w:line="240" w:lineRule="auto"/>
              <w:ind w:firstLine="0"/>
            </w:pPr>
            <w:r>
              <w:t>Вероятность выдачи Администрации предупреждения</w:t>
            </w:r>
          </w:p>
        </w:tc>
      </w:tr>
      <w:tr w:rsidR="00DD7CD9" w:rsidTr="004D6150">
        <w:trPr>
          <w:trHeight w:hRule="exact" w:val="184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220"/>
            </w:pPr>
            <w: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0"/>
            </w:pPr>
            <w:r>
              <w:t>Существенный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D9" w:rsidRDefault="00DD7CD9" w:rsidP="004D6150">
            <w:pPr>
              <w:pStyle w:val="a4"/>
              <w:spacing w:line="240" w:lineRule="auto"/>
              <w:ind w:firstLine="0"/>
            </w:pPr>
            <w: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D7CD9" w:rsidTr="004D6150">
        <w:trPr>
          <w:trHeight w:hRule="exact" w:val="28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220"/>
            </w:pPr>
            <w: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D9" w:rsidRDefault="00DD7CD9" w:rsidP="008E68C6">
            <w:pPr>
              <w:pStyle w:val="a4"/>
              <w:spacing w:before="300" w:line="240" w:lineRule="auto"/>
              <w:ind w:firstLine="0"/>
            </w:pPr>
            <w:r>
              <w:t>Высокий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CD9" w:rsidRDefault="00DD7CD9" w:rsidP="004D6150">
            <w:pPr>
              <w:pStyle w:val="a4"/>
              <w:spacing w:line="240" w:lineRule="auto"/>
              <w:ind w:firstLine="0"/>
            </w:pPr>
            <w:r>
              <w:t>Вероятность выдачи Администрации предупреждения и возбуждения в отношении него дела о нарушении антимонопольного законодательства и</w:t>
            </w:r>
            <w:r>
              <w:br/>
              <w:t>привлечения к административной ответственности (штраф, дисквалификация)</w:t>
            </w:r>
          </w:p>
        </w:tc>
      </w:tr>
    </w:tbl>
    <w:p w:rsidR="00DD7CD9" w:rsidRDefault="00DD7CD9" w:rsidP="007E4ADC"/>
    <w:sectPr w:rsidR="00DD7CD9" w:rsidSect="00EE25B5">
      <w:pgSz w:w="11906" w:h="16838" w:code="9"/>
      <w:pgMar w:top="851" w:right="567" w:bottom="1134" w:left="1701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D9" w:rsidRDefault="00DD7CD9">
      <w:r>
        <w:separator/>
      </w:r>
    </w:p>
  </w:endnote>
  <w:endnote w:type="continuationSeparator" w:id="0">
    <w:p w:rsidR="00DD7CD9" w:rsidRDefault="00DD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D9" w:rsidRPr="004D6150" w:rsidRDefault="00DD7CD9" w:rsidP="004D6150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  <w:szCs w:val="20"/>
      </w:rPr>
    </w:pPr>
    <w:r w:rsidRPr="004D6150">
      <w:rPr>
        <w:sz w:val="20"/>
        <w:szCs w:val="20"/>
      </w:rPr>
      <w:t>ЭО-постановление № 4</w:t>
    </w:r>
    <w:r>
      <w:rPr>
        <w:sz w:val="20"/>
        <w:szCs w:val="20"/>
      </w:rPr>
      <w:t>60</w:t>
    </w:r>
    <w:r w:rsidRPr="004D6150">
      <w:rPr>
        <w:sz w:val="20"/>
        <w:szCs w:val="20"/>
      </w:rPr>
      <w:t xml:space="preserve"> от 24.12.2021, лг</w:t>
    </w:r>
  </w:p>
  <w:p w:rsidR="00DD7CD9" w:rsidRDefault="00DD7CD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D9" w:rsidRDefault="00DD7CD9">
      <w:r>
        <w:separator/>
      </w:r>
    </w:p>
  </w:footnote>
  <w:footnote w:type="continuationSeparator" w:id="0">
    <w:p w:rsidR="00DD7CD9" w:rsidRDefault="00DD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F2"/>
    <w:multiLevelType w:val="multilevel"/>
    <w:tmpl w:val="0AA22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700D60D9"/>
    <w:multiLevelType w:val="multilevel"/>
    <w:tmpl w:val="3CBC60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1B6F7F"/>
    <w:multiLevelType w:val="multilevel"/>
    <w:tmpl w:val="7A24220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A323D0"/>
    <w:multiLevelType w:val="multilevel"/>
    <w:tmpl w:val="6FD8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0472"/>
    <w:rsid w:val="00037BDC"/>
    <w:rsid w:val="00037BE7"/>
    <w:rsid w:val="00047CD0"/>
    <w:rsid w:val="0005110A"/>
    <w:rsid w:val="000862DA"/>
    <w:rsid w:val="000B11E8"/>
    <w:rsid w:val="000B729E"/>
    <w:rsid w:val="000C5004"/>
    <w:rsid w:val="00104DC9"/>
    <w:rsid w:val="00137812"/>
    <w:rsid w:val="001A4883"/>
    <w:rsid w:val="001A76EA"/>
    <w:rsid w:val="001C074D"/>
    <w:rsid w:val="001D02CD"/>
    <w:rsid w:val="001D439D"/>
    <w:rsid w:val="001D615E"/>
    <w:rsid w:val="001E26B6"/>
    <w:rsid w:val="0022038B"/>
    <w:rsid w:val="00267BDE"/>
    <w:rsid w:val="00286D38"/>
    <w:rsid w:val="00291B93"/>
    <w:rsid w:val="002921B0"/>
    <w:rsid w:val="002A2216"/>
    <w:rsid w:val="002C37BB"/>
    <w:rsid w:val="002C44CB"/>
    <w:rsid w:val="002E7B15"/>
    <w:rsid w:val="00315FD5"/>
    <w:rsid w:val="0032213A"/>
    <w:rsid w:val="00326CED"/>
    <w:rsid w:val="00333F5D"/>
    <w:rsid w:val="00344940"/>
    <w:rsid w:val="003859EE"/>
    <w:rsid w:val="003E6D98"/>
    <w:rsid w:val="003F2312"/>
    <w:rsid w:val="003F244B"/>
    <w:rsid w:val="003F6375"/>
    <w:rsid w:val="00407D0E"/>
    <w:rsid w:val="00426B2F"/>
    <w:rsid w:val="0043405E"/>
    <w:rsid w:val="0043757F"/>
    <w:rsid w:val="00451963"/>
    <w:rsid w:val="00470FB3"/>
    <w:rsid w:val="004747B2"/>
    <w:rsid w:val="00482A25"/>
    <w:rsid w:val="004A3F5A"/>
    <w:rsid w:val="004B7255"/>
    <w:rsid w:val="004D6150"/>
    <w:rsid w:val="004F4F11"/>
    <w:rsid w:val="00502197"/>
    <w:rsid w:val="00502F9B"/>
    <w:rsid w:val="00505BE5"/>
    <w:rsid w:val="0051362B"/>
    <w:rsid w:val="00536FED"/>
    <w:rsid w:val="00546F60"/>
    <w:rsid w:val="00564064"/>
    <w:rsid w:val="00565F69"/>
    <w:rsid w:val="005B4EC2"/>
    <w:rsid w:val="005B7C2C"/>
    <w:rsid w:val="005C68CF"/>
    <w:rsid w:val="005D4DE5"/>
    <w:rsid w:val="005F65A2"/>
    <w:rsid w:val="00603C6E"/>
    <w:rsid w:val="00604AB8"/>
    <w:rsid w:val="00605991"/>
    <w:rsid w:val="006155F3"/>
    <w:rsid w:val="00633AE9"/>
    <w:rsid w:val="00637B08"/>
    <w:rsid w:val="0065198F"/>
    <w:rsid w:val="0066436B"/>
    <w:rsid w:val="006A5A90"/>
    <w:rsid w:val="006A5CDE"/>
    <w:rsid w:val="006C67D7"/>
    <w:rsid w:val="006C6BEC"/>
    <w:rsid w:val="00770410"/>
    <w:rsid w:val="0077585D"/>
    <w:rsid w:val="0078616F"/>
    <w:rsid w:val="007919E2"/>
    <w:rsid w:val="007A4EAD"/>
    <w:rsid w:val="007D1BC7"/>
    <w:rsid w:val="007D1DAC"/>
    <w:rsid w:val="007E4ADC"/>
    <w:rsid w:val="008034FB"/>
    <w:rsid w:val="0081735F"/>
    <w:rsid w:val="00817ACA"/>
    <w:rsid w:val="00846FA1"/>
    <w:rsid w:val="00896774"/>
    <w:rsid w:val="008A21A3"/>
    <w:rsid w:val="008A6960"/>
    <w:rsid w:val="008B1016"/>
    <w:rsid w:val="008D16CB"/>
    <w:rsid w:val="008E2874"/>
    <w:rsid w:val="008E3D3C"/>
    <w:rsid w:val="008E68C6"/>
    <w:rsid w:val="008F2618"/>
    <w:rsid w:val="008F37F8"/>
    <w:rsid w:val="0090664D"/>
    <w:rsid w:val="009169CE"/>
    <w:rsid w:val="00940217"/>
    <w:rsid w:val="00962E32"/>
    <w:rsid w:val="0096677A"/>
    <w:rsid w:val="00981976"/>
    <w:rsid w:val="00982115"/>
    <w:rsid w:val="00997F4C"/>
    <w:rsid w:val="009C6942"/>
    <w:rsid w:val="009D57B3"/>
    <w:rsid w:val="009D6CAE"/>
    <w:rsid w:val="00A02FD1"/>
    <w:rsid w:val="00A10EFB"/>
    <w:rsid w:val="00A22CB6"/>
    <w:rsid w:val="00A77BBD"/>
    <w:rsid w:val="00A77E06"/>
    <w:rsid w:val="00A84C0D"/>
    <w:rsid w:val="00A87E72"/>
    <w:rsid w:val="00AB5040"/>
    <w:rsid w:val="00AF57AD"/>
    <w:rsid w:val="00B121E4"/>
    <w:rsid w:val="00B1278C"/>
    <w:rsid w:val="00B15AD5"/>
    <w:rsid w:val="00B20BFA"/>
    <w:rsid w:val="00B32B89"/>
    <w:rsid w:val="00B51203"/>
    <w:rsid w:val="00B83295"/>
    <w:rsid w:val="00B91558"/>
    <w:rsid w:val="00BB0CD5"/>
    <w:rsid w:val="00BB6EA3"/>
    <w:rsid w:val="00BC4DAA"/>
    <w:rsid w:val="00BF31D6"/>
    <w:rsid w:val="00BF5E94"/>
    <w:rsid w:val="00C63335"/>
    <w:rsid w:val="00C73B95"/>
    <w:rsid w:val="00C75E49"/>
    <w:rsid w:val="00C779C1"/>
    <w:rsid w:val="00C80448"/>
    <w:rsid w:val="00C971D2"/>
    <w:rsid w:val="00CB60BB"/>
    <w:rsid w:val="00CC72A6"/>
    <w:rsid w:val="00CC7787"/>
    <w:rsid w:val="00CD70AC"/>
    <w:rsid w:val="00D16C3D"/>
    <w:rsid w:val="00D44EF8"/>
    <w:rsid w:val="00D6267A"/>
    <w:rsid w:val="00D73007"/>
    <w:rsid w:val="00DA2F91"/>
    <w:rsid w:val="00DA5A4D"/>
    <w:rsid w:val="00DD27AB"/>
    <w:rsid w:val="00DD3129"/>
    <w:rsid w:val="00DD7732"/>
    <w:rsid w:val="00DD7CD9"/>
    <w:rsid w:val="00DF571B"/>
    <w:rsid w:val="00E37B12"/>
    <w:rsid w:val="00E43DE0"/>
    <w:rsid w:val="00E55996"/>
    <w:rsid w:val="00E55D54"/>
    <w:rsid w:val="00EB54EA"/>
    <w:rsid w:val="00EC6CCF"/>
    <w:rsid w:val="00ED3AFB"/>
    <w:rsid w:val="00EE25B5"/>
    <w:rsid w:val="00EE37F7"/>
    <w:rsid w:val="00F10AD2"/>
    <w:rsid w:val="00F24CAC"/>
    <w:rsid w:val="00F57B02"/>
    <w:rsid w:val="00F626BD"/>
    <w:rsid w:val="00F6329C"/>
    <w:rsid w:val="00F64538"/>
    <w:rsid w:val="00F76765"/>
    <w:rsid w:val="00F76AC3"/>
    <w:rsid w:val="00F86946"/>
    <w:rsid w:val="00F9157B"/>
    <w:rsid w:val="00FB7FD5"/>
    <w:rsid w:val="00FC1030"/>
    <w:rsid w:val="00F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0">
    <w:name w:val="регистрационные поля"/>
    <w:basedOn w:val="Normal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1">
    <w:name w:val="Исполнитель"/>
    <w:basedOn w:val="BodyText"/>
    <w:uiPriority w:val="99"/>
    <w:rsid w:val="009169CE"/>
    <w:pPr>
      <w:suppressAutoHyphens/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9CE"/>
    <w:rPr>
      <w:sz w:val="28"/>
    </w:rPr>
  </w:style>
  <w:style w:type="paragraph" w:styleId="BodyText">
    <w:name w:val="Body Text"/>
    <w:basedOn w:val="Normal"/>
    <w:link w:val="BodyTextChar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9CE"/>
    <w:rPr>
      <w:sz w:val="24"/>
    </w:rPr>
  </w:style>
  <w:style w:type="paragraph" w:styleId="ListParagraph">
    <w:name w:val="List Paragraph"/>
    <w:basedOn w:val="Normal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940"/>
    <w:rPr>
      <w:rFonts w:cs="Times New Roman"/>
      <w:sz w:val="24"/>
      <w:szCs w:val="24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8034FB"/>
    <w:rPr>
      <w:rFonts w:cs="Times New Roman"/>
      <w:sz w:val="28"/>
      <w:szCs w:val="28"/>
    </w:rPr>
  </w:style>
  <w:style w:type="paragraph" w:customStyle="1" w:styleId="1">
    <w:name w:val="Основной текст1"/>
    <w:basedOn w:val="Normal"/>
    <w:link w:val="a2"/>
    <w:uiPriority w:val="99"/>
    <w:rsid w:val="008034FB"/>
    <w:pPr>
      <w:widowControl w:val="0"/>
      <w:spacing w:line="252" w:lineRule="auto"/>
      <w:ind w:firstLine="400"/>
    </w:pPr>
    <w:rPr>
      <w:sz w:val="28"/>
      <w:szCs w:val="28"/>
    </w:rPr>
  </w:style>
  <w:style w:type="character" w:customStyle="1" w:styleId="3">
    <w:name w:val="Заголовок №3_"/>
    <w:basedOn w:val="DefaultParagraphFont"/>
    <w:link w:val="30"/>
    <w:uiPriority w:val="99"/>
    <w:locked/>
    <w:rsid w:val="008034FB"/>
    <w:rPr>
      <w:rFonts w:cs="Times New Roman"/>
      <w:b/>
      <w:bCs/>
      <w:sz w:val="28"/>
      <w:szCs w:val="28"/>
    </w:rPr>
  </w:style>
  <w:style w:type="character" w:customStyle="1" w:styleId="a3">
    <w:name w:val="Другое_"/>
    <w:basedOn w:val="DefaultParagraphFont"/>
    <w:link w:val="a4"/>
    <w:uiPriority w:val="99"/>
    <w:locked/>
    <w:rsid w:val="008034FB"/>
    <w:rPr>
      <w:rFonts w:cs="Times New Roman"/>
      <w:sz w:val="28"/>
      <w:szCs w:val="28"/>
    </w:rPr>
  </w:style>
  <w:style w:type="paragraph" w:customStyle="1" w:styleId="30">
    <w:name w:val="Заголовок №3"/>
    <w:basedOn w:val="Normal"/>
    <w:link w:val="3"/>
    <w:uiPriority w:val="99"/>
    <w:rsid w:val="008034FB"/>
    <w:pPr>
      <w:widowControl w:val="0"/>
      <w:spacing w:after="300"/>
      <w:jc w:val="center"/>
      <w:outlineLvl w:val="2"/>
    </w:pPr>
    <w:rPr>
      <w:b/>
      <w:bCs/>
      <w:sz w:val="28"/>
      <w:szCs w:val="28"/>
    </w:rPr>
  </w:style>
  <w:style w:type="paragraph" w:customStyle="1" w:styleId="a4">
    <w:name w:val="Другое"/>
    <w:basedOn w:val="Normal"/>
    <w:link w:val="a3"/>
    <w:uiPriority w:val="99"/>
    <w:rsid w:val="008034FB"/>
    <w:pPr>
      <w:widowControl w:val="0"/>
      <w:spacing w:line="252" w:lineRule="auto"/>
      <w:ind w:firstLine="40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4D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2860</Words>
  <Characters>16308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Ольга</cp:lastModifiedBy>
  <cp:revision>15</cp:revision>
  <cp:lastPrinted>2022-01-17T04:26:00Z</cp:lastPrinted>
  <dcterms:created xsi:type="dcterms:W3CDTF">2021-12-27T05:50:00Z</dcterms:created>
  <dcterms:modified xsi:type="dcterms:W3CDTF">2022-01-17T04:33:00Z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